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C6FA2" w14:textId="5694783B" w:rsidR="004B7D1E" w:rsidRPr="00232EF0" w:rsidRDefault="004B7D1E" w:rsidP="004B7D1E">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70091">
        <w:rPr>
          <w:rFonts w:eastAsia="MS Mincho" w:cs="Arial"/>
          <w:bCs/>
          <w:sz w:val="28"/>
          <w:szCs w:val="28"/>
          <w:lang w:val="en-US"/>
        </w:rPr>
        <w:t>3GPP TSG-RAN WG2 Meeting # 12</w:t>
      </w:r>
      <w:r>
        <w:rPr>
          <w:rFonts w:eastAsia="MS Mincho" w:cs="Arial"/>
          <w:bCs/>
          <w:sz w:val="28"/>
          <w:szCs w:val="28"/>
          <w:lang w:val="en-US"/>
        </w:rPr>
        <w:t>9</w:t>
      </w:r>
      <w:r w:rsidRPr="00E70091">
        <w:rPr>
          <w:rFonts w:eastAsia="MS Mincho" w:cs="Arial"/>
          <w:bCs/>
          <w:sz w:val="28"/>
          <w:szCs w:val="28"/>
          <w:lang w:val="en-US"/>
        </w:rPr>
        <w:t xml:space="preserve"> </w:t>
      </w:r>
      <w:r w:rsidRPr="00E70091">
        <w:rPr>
          <w:rFonts w:eastAsia="MS Mincho" w:cs="Arial"/>
          <w:bCs/>
          <w:sz w:val="28"/>
          <w:szCs w:val="28"/>
          <w:lang w:val="en-US"/>
        </w:rPr>
        <w:tab/>
        <w:t xml:space="preserve">                </w:t>
      </w:r>
      <w:r w:rsidR="00224793" w:rsidRPr="00232EF0">
        <w:rPr>
          <w:sz w:val="28"/>
          <w:szCs w:val="28"/>
        </w:rPr>
        <w:t>R2-2500745</w:t>
      </w:r>
    </w:p>
    <w:p w14:paraId="0A139184" w14:textId="77777777" w:rsidR="004B7D1E" w:rsidRPr="00F04D19" w:rsidRDefault="004B7D1E" w:rsidP="004B7D1E">
      <w:pPr>
        <w:pStyle w:val="Header"/>
        <w:rPr>
          <w:rFonts w:cs="Arial"/>
          <w:b w:val="0"/>
          <w:bCs/>
          <w:sz w:val="24"/>
          <w:lang w:val="en-US"/>
        </w:rPr>
      </w:pPr>
      <w:r w:rsidRPr="00F04D19">
        <w:rPr>
          <w:rFonts w:cs="Arial"/>
          <w:bCs/>
          <w:sz w:val="24"/>
          <w:lang w:val="en-US"/>
        </w:rPr>
        <w:t>Athens, Greece, Feb. 17</w:t>
      </w:r>
      <w:r w:rsidRPr="00F04D19">
        <w:rPr>
          <w:rFonts w:cs="Arial"/>
          <w:bCs/>
          <w:sz w:val="24"/>
          <w:vertAlign w:val="superscript"/>
          <w:lang w:val="en-US"/>
        </w:rPr>
        <w:t>th</w:t>
      </w:r>
      <w:r w:rsidRPr="00F04D19">
        <w:rPr>
          <w:rFonts w:cs="Arial"/>
          <w:bCs/>
          <w:sz w:val="24"/>
          <w:lang w:val="en-US"/>
        </w:rPr>
        <w:t xml:space="preserve"> – 21</w:t>
      </w:r>
      <w:r w:rsidRPr="00F04D19">
        <w:rPr>
          <w:rFonts w:cs="Arial"/>
          <w:bCs/>
          <w:sz w:val="24"/>
          <w:vertAlign w:val="superscript"/>
          <w:lang w:val="en-US"/>
        </w:rPr>
        <w:t>st</w:t>
      </w:r>
      <w:r w:rsidRPr="00F04D19">
        <w:rPr>
          <w:rFonts w:cs="Arial"/>
          <w:bCs/>
          <w:sz w:val="24"/>
          <w:lang w:val="en-US"/>
        </w:rPr>
        <w:t>, 2025</w:t>
      </w:r>
    </w:p>
    <w:p w14:paraId="672A6659" w14:textId="08948EE9" w:rsidR="00633B27" w:rsidRPr="00ED3A09" w:rsidRDefault="00633B27" w:rsidP="004E588D">
      <w:pPr>
        <w:pStyle w:val="Header"/>
        <w:rPr>
          <w:sz w:val="28"/>
          <w:szCs w:val="28"/>
        </w:rPr>
      </w:pPr>
      <w:r w:rsidRPr="00ED3A09">
        <w:rPr>
          <w:rFonts w:eastAsia="MS Mincho" w:cs="Arial"/>
          <w:sz w:val="28"/>
          <w:szCs w:val="28"/>
          <w:lang w:val="en-US" w:eastAsia="en-US"/>
        </w:rPr>
        <w:tab/>
      </w:r>
      <w:r w:rsidRPr="00ED3A09">
        <w:rPr>
          <w:rFonts w:eastAsia="MS Mincho" w:cs="Arial"/>
          <w:sz w:val="28"/>
          <w:szCs w:val="28"/>
          <w:lang w:val="en-US" w:eastAsia="en-US"/>
        </w:rPr>
        <w:tab/>
      </w:r>
      <w:r w:rsidRPr="00ED3A09">
        <w:rPr>
          <w:rFonts w:eastAsia="MS Mincho" w:cs="Arial"/>
          <w:sz w:val="28"/>
          <w:szCs w:val="28"/>
          <w:lang w:val="en-US" w:eastAsia="en-US"/>
        </w:rPr>
        <w:tab/>
      </w:r>
    </w:p>
    <w:p w14:paraId="64E3952A" w14:textId="480ABC95"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76981AE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563350">
        <w:rPr>
          <w:rFonts w:ascii="Arial" w:hAnsi="Arial" w:cs="Arial"/>
          <w:b/>
          <w:bCs/>
          <w:iCs/>
          <w:sz w:val="24"/>
          <w:szCs w:val="24"/>
        </w:rPr>
        <w:t>LTM for Inter</w:t>
      </w:r>
      <w:r w:rsidR="009C4F40">
        <w:rPr>
          <w:rFonts w:ascii="Arial" w:hAnsi="Arial" w:cs="Arial"/>
          <w:b/>
          <w:bCs/>
          <w:iCs/>
          <w:sz w:val="24"/>
          <w:szCs w:val="24"/>
        </w:rPr>
        <w:t>-</w:t>
      </w:r>
      <w:r w:rsidR="00563350">
        <w:rPr>
          <w:rFonts w:ascii="Arial" w:hAnsi="Arial" w:cs="Arial"/>
          <w:b/>
          <w:bCs/>
          <w:iCs/>
          <w:sz w:val="24"/>
          <w:szCs w:val="24"/>
        </w:rPr>
        <w:t>CU</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7318DA" w:rsidRDefault="00501F5B" w:rsidP="007318DA">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 xml:space="preserve">In RAN#102, a new WI of </w:t>
      </w:r>
      <w:r w:rsidR="00512693" w:rsidRPr="007318DA">
        <w:rPr>
          <w:rFonts w:eastAsia="MS Mincho"/>
          <w:b/>
          <w:bCs/>
          <w:sz w:val="22"/>
          <w:szCs w:val="22"/>
          <w:lang w:val="en-US" w:eastAsia="en-GB"/>
        </w:rPr>
        <w:t xml:space="preserve">mobility enhancements </w:t>
      </w:r>
      <w:r w:rsidR="00E322F8" w:rsidRPr="007318DA">
        <w:rPr>
          <w:rFonts w:eastAsia="MS Mincho"/>
          <w:b/>
          <w:bCs/>
          <w:sz w:val="22"/>
          <w:szCs w:val="22"/>
          <w:lang w:val="en-US" w:eastAsia="en-GB"/>
        </w:rPr>
        <w:t xml:space="preserve">for NR </w:t>
      </w:r>
      <w:r w:rsidRPr="007318DA">
        <w:rPr>
          <w:rFonts w:eastAsia="MS Mincho"/>
          <w:b/>
          <w:bCs/>
          <w:sz w:val="22"/>
          <w:szCs w:val="22"/>
          <w:lang w:val="en-US" w:eastAsia="en-GB"/>
        </w:rPr>
        <w:t>has been agreed</w:t>
      </w:r>
      <w:r w:rsidR="00F07F6A" w:rsidRPr="007318DA">
        <w:rPr>
          <w:rFonts w:eastAsia="MS Mincho"/>
          <w:b/>
          <w:bCs/>
          <w:sz w:val="22"/>
          <w:szCs w:val="22"/>
          <w:lang w:val="en-US" w:eastAsia="en-GB"/>
        </w:rPr>
        <w:t xml:space="preserve"> </w:t>
      </w:r>
      <w:r w:rsidR="00C21DF5" w:rsidRPr="007318DA">
        <w:rPr>
          <w:rFonts w:eastAsia="MS Mincho"/>
          <w:b/>
          <w:bCs/>
          <w:sz w:val="22"/>
          <w:szCs w:val="22"/>
          <w:lang w:val="en-US" w:eastAsia="en-GB"/>
        </w:rPr>
        <w:t>which contains the following bullet point</w:t>
      </w:r>
      <w:r w:rsidR="009A7EF2" w:rsidRPr="007318DA">
        <w:rPr>
          <w:rFonts w:eastAsia="MS Mincho"/>
          <w:b/>
          <w:bCs/>
          <w:sz w:val="22"/>
          <w:szCs w:val="22"/>
          <w:lang w:val="en-US" w:eastAsia="en-GB"/>
        </w:rPr>
        <w:t xml:space="preserve"> [1]</w:t>
      </w:r>
      <w:r w:rsidR="00C21DF5" w:rsidRPr="007318DA">
        <w:rPr>
          <w:rFonts w:eastAsia="MS Mincho"/>
          <w:b/>
          <w:bCs/>
          <w:sz w:val="22"/>
          <w:szCs w:val="22"/>
          <w:lang w:val="en-US" w:eastAsia="en-GB"/>
        </w:rPr>
        <w:t>:</w:t>
      </w:r>
    </w:p>
    <w:p w14:paraId="55106D04" w14:textId="77777777" w:rsidR="003D49FC" w:rsidRPr="007318DA" w:rsidRDefault="003D49FC" w:rsidP="007318DA">
      <w:pPr>
        <w:pStyle w:val="ListParagraph"/>
        <w:numPr>
          <w:ilvl w:val="0"/>
          <w:numId w:val="28"/>
        </w:numPr>
        <w:tabs>
          <w:tab w:val="left" w:pos="1622"/>
        </w:tabs>
        <w:spacing w:before="40" w:after="0"/>
        <w:rPr>
          <w:rFonts w:ascii="Times New Roman" w:hAnsi="Times New Roman"/>
          <w:b/>
          <w:bCs/>
        </w:rPr>
      </w:pPr>
      <w:r w:rsidRPr="007318DA">
        <w:rPr>
          <w:rFonts w:ascii="Times New Roman" w:hAnsi="Times New Roman"/>
          <w:b/>
          <w:bCs/>
          <w:lang w:val="en-US" w:eastAsia="en-GB"/>
        </w:rPr>
        <w:t>Specify support for inter</w:t>
      </w:r>
      <w:r w:rsidRPr="007318DA">
        <w:rPr>
          <w:rFonts w:ascii="Times New Roman" w:hAnsi="Times New Roman"/>
          <w:b/>
          <w:bCs/>
        </w:rPr>
        <w:t>-CU Layer 2 Mobility (LTM) [RAN2, RAN3]</w:t>
      </w:r>
    </w:p>
    <w:p w14:paraId="723312BC" w14:textId="22E64D8F" w:rsidR="003D49FC" w:rsidRPr="007318DA" w:rsidRDefault="003D49FC" w:rsidP="003D49FC">
      <w:pPr>
        <w:numPr>
          <w:ilvl w:val="1"/>
          <w:numId w:val="17"/>
        </w:numPr>
        <w:spacing w:after="0"/>
        <w:rPr>
          <w:bCs/>
        </w:rPr>
      </w:pPr>
      <w:r w:rsidRPr="007318DA">
        <w:rPr>
          <w:bCs/>
        </w:rPr>
        <w:t>Prioritize the case when CU is acting as MN when DC is not configured</w:t>
      </w:r>
      <w:r w:rsidR="004706F6" w:rsidRPr="007318DA">
        <w:rPr>
          <w:bCs/>
        </w:rPr>
        <w:t>.</w:t>
      </w:r>
    </w:p>
    <w:p w14:paraId="2C629FCC" w14:textId="0D5C051A" w:rsidR="003D49FC" w:rsidRPr="007318DA" w:rsidRDefault="003D49FC" w:rsidP="003D49FC">
      <w:pPr>
        <w:numPr>
          <w:ilvl w:val="1"/>
          <w:numId w:val="17"/>
        </w:numPr>
        <w:spacing w:after="0"/>
        <w:rPr>
          <w:bCs/>
        </w:rPr>
      </w:pPr>
      <w:r w:rsidRPr="007318DA">
        <w:rPr>
          <w:bCs/>
        </w:rPr>
        <w:t>As secondary priority, support the case when NR-DC is configured</w:t>
      </w:r>
      <w:r w:rsidR="00770892">
        <w:rPr>
          <w:bCs/>
        </w:rPr>
        <w:t>,</w:t>
      </w:r>
      <w:r w:rsidRPr="007318DA">
        <w:rPr>
          <w:bCs/>
        </w:rPr>
        <w:t xml:space="preserve"> and CU is acting as SN and MCG is unchanged</w:t>
      </w:r>
      <w:r w:rsidR="00A65794">
        <w:rPr>
          <w:bCs/>
        </w:rPr>
        <w:t>.</w:t>
      </w:r>
    </w:p>
    <w:p w14:paraId="5E99255B" w14:textId="4FC7110F" w:rsidR="003D49FC" w:rsidRPr="007318DA" w:rsidRDefault="003D49FC" w:rsidP="003D49FC">
      <w:pPr>
        <w:numPr>
          <w:ilvl w:val="1"/>
          <w:numId w:val="17"/>
        </w:numPr>
        <w:spacing w:after="0"/>
        <w:rPr>
          <w:bCs/>
        </w:rPr>
      </w:pPr>
      <w:r w:rsidRPr="007318DA">
        <w:rPr>
          <w:bCs/>
        </w:rPr>
        <w:t>As secondary priority, support the case when NR-DC is configured, CU is acting as MN and SCG is unchanged or SCG is released</w:t>
      </w:r>
      <w:r w:rsidR="004706F6" w:rsidRPr="007318DA">
        <w:rPr>
          <w:bCs/>
        </w:rPr>
        <w:t>.</w:t>
      </w:r>
    </w:p>
    <w:p w14:paraId="343B0281" w14:textId="77777777" w:rsidR="003D49FC" w:rsidRPr="007318DA" w:rsidRDefault="003D49FC" w:rsidP="003D49FC">
      <w:pPr>
        <w:numPr>
          <w:ilvl w:val="2"/>
          <w:numId w:val="17"/>
        </w:numPr>
        <w:spacing w:after="0"/>
        <w:rPr>
          <w:bCs/>
        </w:rPr>
      </w:pPr>
      <w:r w:rsidRPr="007318DA">
        <w:rPr>
          <w:bCs/>
        </w:rPr>
        <w:t xml:space="preserve">Note: The case that LTM is configured in both MCG and SCG is excluded </w:t>
      </w:r>
    </w:p>
    <w:p w14:paraId="56DBDEA9" w14:textId="77777777" w:rsidR="003D49FC" w:rsidRPr="007318DA" w:rsidRDefault="003D49FC" w:rsidP="003D49FC">
      <w:pPr>
        <w:numPr>
          <w:ilvl w:val="1"/>
          <w:numId w:val="17"/>
        </w:numPr>
        <w:spacing w:after="0"/>
        <w:rPr>
          <w:bCs/>
        </w:rPr>
      </w:pPr>
      <w:r w:rsidRPr="007318DA">
        <w:rPr>
          <w:bCs/>
        </w:rPr>
        <w:t>Specify support for subsequent LTM mobility procedures aiming to avoid RRC configuration between cell switches as per Rel-18 LTM</w:t>
      </w:r>
    </w:p>
    <w:p w14:paraId="4BF9E464" w14:textId="77777777" w:rsidR="003D49FC" w:rsidRPr="007318DA" w:rsidRDefault="003D49FC" w:rsidP="003D49FC">
      <w:pPr>
        <w:numPr>
          <w:ilvl w:val="2"/>
          <w:numId w:val="17"/>
        </w:numPr>
        <w:spacing w:after="0"/>
        <w:rPr>
          <w:bCs/>
        </w:rPr>
      </w:pPr>
      <w:r w:rsidRPr="007318DA">
        <w:rPr>
          <w:bCs/>
        </w:rPr>
        <w:t xml:space="preserve">Coordination with SA3 needed with respect to security key handling. </w:t>
      </w:r>
    </w:p>
    <w:p w14:paraId="4CBBB8DA" w14:textId="77777777" w:rsidR="003D49FC" w:rsidRPr="007318DA" w:rsidRDefault="003D49FC" w:rsidP="003D49FC">
      <w:pPr>
        <w:numPr>
          <w:ilvl w:val="1"/>
          <w:numId w:val="17"/>
        </w:numPr>
        <w:spacing w:after="0"/>
        <w:rPr>
          <w:bCs/>
        </w:rPr>
      </w:pPr>
      <w:r w:rsidRPr="007318DA">
        <w:rPr>
          <w:bCs/>
        </w:rPr>
        <w:t>Note: Rel. 18 intra-CU LTM procedure is considered as baseline for adding inter-CU support</w:t>
      </w:r>
    </w:p>
    <w:p w14:paraId="47FFD063" w14:textId="77777777" w:rsidR="009D132D" w:rsidRPr="007318DA" w:rsidRDefault="009D132D" w:rsidP="000C1ADE">
      <w:pPr>
        <w:pStyle w:val="Comments"/>
        <w:rPr>
          <w:rFonts w:ascii="Times New Roman" w:hAnsi="Times New Roman"/>
          <w:i w:val="0"/>
          <w:iCs/>
          <w:sz w:val="22"/>
          <w:szCs w:val="22"/>
          <w:lang w:val="en-US"/>
        </w:rPr>
      </w:pPr>
    </w:p>
    <w:p w14:paraId="262BC6FC" w14:textId="0FE27040" w:rsidR="006C7240" w:rsidRPr="00535FDB" w:rsidRDefault="006C7240" w:rsidP="00384ED8">
      <w:pPr>
        <w:tabs>
          <w:tab w:val="left" w:pos="1622"/>
        </w:tabs>
        <w:overflowPunct/>
        <w:autoSpaceDE/>
        <w:autoSpaceDN/>
        <w:adjustRightInd/>
        <w:spacing w:before="40" w:after="0"/>
        <w:textAlignment w:val="auto"/>
        <w:rPr>
          <w:rFonts w:eastAsia="MS Mincho"/>
          <w:b/>
          <w:sz w:val="22"/>
          <w:szCs w:val="22"/>
          <w:lang w:val="en-US" w:eastAsia="en-GB"/>
        </w:rPr>
      </w:pPr>
      <w:r w:rsidRPr="00535FDB">
        <w:rPr>
          <w:b/>
          <w:sz w:val="22"/>
          <w:szCs w:val="22"/>
        </w:rPr>
        <w:t>In RAN2#126, the following agreements were reached:</w:t>
      </w:r>
    </w:p>
    <w:p w14:paraId="33A6908F" w14:textId="77777777" w:rsidR="00535FDB" w:rsidRPr="00535FDB" w:rsidRDefault="00535FDB" w:rsidP="00313AC4">
      <w:pPr>
        <w:tabs>
          <w:tab w:val="left" w:pos="1622"/>
        </w:tabs>
        <w:overflowPunct/>
        <w:autoSpaceDE/>
        <w:autoSpaceDN/>
        <w:adjustRightInd/>
        <w:spacing w:after="0"/>
        <w:ind w:left="1215" w:hanging="363"/>
        <w:textAlignment w:val="auto"/>
        <w:rPr>
          <w:rFonts w:eastAsia="MS Mincho"/>
          <w:b/>
          <w:bCs/>
          <w:szCs w:val="24"/>
          <w:lang w:val="en-US" w:eastAsia="en-GB"/>
        </w:rPr>
      </w:pPr>
      <w:r w:rsidRPr="00384ED8">
        <w:rPr>
          <w:rFonts w:eastAsia="MS Mincho"/>
          <w:b/>
          <w:bCs/>
          <w:szCs w:val="24"/>
          <w:lang w:val="en-US" w:eastAsia="en-GB"/>
        </w:rPr>
        <w:t>Agreements on inter-CU LTM:</w:t>
      </w:r>
    </w:p>
    <w:p w14:paraId="16B0AE07"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1310F592"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roofErr w:type="spellStart"/>
      <w:r w:rsidRPr="00535FDB">
        <w:rPr>
          <w:rFonts w:eastAsia="MS Mincho"/>
          <w:b/>
          <w:szCs w:val="24"/>
          <w:lang w:eastAsia="en-GB"/>
        </w:rPr>
        <w:t>Xn</w:t>
      </w:r>
      <w:proofErr w:type="spellEnd"/>
      <w:r w:rsidRPr="00535FDB">
        <w:rPr>
          <w:rFonts w:eastAsia="MS Mincho"/>
          <w:b/>
          <w:szCs w:val="24"/>
          <w:lang w:eastAsia="en-GB"/>
        </w:rPr>
        <w:t>-based and N2-based inter-CU LTM</w:t>
      </w:r>
    </w:p>
    <w:p w14:paraId="0CA9B045"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proofErr w:type="spellStart"/>
      <w:r w:rsidRPr="00535FDB">
        <w:rPr>
          <w:rFonts w:eastAsia="MS Mincho"/>
          <w:szCs w:val="24"/>
          <w:lang w:eastAsia="en-GB"/>
        </w:rPr>
        <w:t>Xn</w:t>
      </w:r>
      <w:proofErr w:type="spellEnd"/>
      <w:r w:rsidRPr="00535FDB">
        <w:rPr>
          <w:rFonts w:eastAsia="MS Mincho"/>
          <w:szCs w:val="24"/>
          <w:lang w:eastAsia="en-GB"/>
        </w:rPr>
        <w:t>-based inter-CU LTM is prioritized in Rel-19.</w:t>
      </w:r>
    </w:p>
    <w:p w14:paraId="64DBEC74"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3CCE774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completion</w:t>
      </w:r>
    </w:p>
    <w:p w14:paraId="57C37F31"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Support CG-based RACH-less and DG-based RACH-less procedures for inter-CU LTM.</w:t>
      </w:r>
    </w:p>
    <w:p w14:paraId="01F359D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LTM completion defined for intra-CU LTM is followed for R19 LTM.</w:t>
      </w:r>
    </w:p>
    <w:p w14:paraId="23A52E2F" w14:textId="78C1BDBA" w:rsidR="00A37741"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7BA6A5D7" w14:textId="601D0C70" w:rsidR="00287F40" w:rsidRDefault="00287F40" w:rsidP="00384ED8">
      <w:pPr>
        <w:tabs>
          <w:tab w:val="left" w:pos="1622"/>
        </w:tabs>
        <w:overflowPunct/>
        <w:autoSpaceDE/>
        <w:autoSpaceDN/>
        <w:adjustRightInd/>
        <w:spacing w:before="40" w:after="0"/>
        <w:textAlignment w:val="auto"/>
        <w:rPr>
          <w:b/>
          <w:sz w:val="22"/>
          <w:szCs w:val="22"/>
        </w:rPr>
      </w:pPr>
      <w:r w:rsidRPr="00535FDB">
        <w:rPr>
          <w:b/>
          <w:sz w:val="22"/>
          <w:szCs w:val="22"/>
        </w:rPr>
        <w:t>In RAN2#12</w:t>
      </w:r>
      <w:r>
        <w:rPr>
          <w:b/>
          <w:sz w:val="22"/>
          <w:szCs w:val="22"/>
        </w:rPr>
        <w:t>7</w:t>
      </w:r>
      <w:r w:rsidRPr="00535FDB">
        <w:rPr>
          <w:b/>
          <w:sz w:val="22"/>
          <w:szCs w:val="22"/>
        </w:rPr>
        <w:t>, the following agreements were reached:</w:t>
      </w:r>
    </w:p>
    <w:p w14:paraId="0ACE9BF2" w14:textId="2F88C1F7" w:rsidR="00287F40" w:rsidRPr="00287F40" w:rsidRDefault="00287F40" w:rsidP="00D56FD7">
      <w:pPr>
        <w:tabs>
          <w:tab w:val="left" w:pos="1622"/>
        </w:tabs>
        <w:overflowPunct/>
        <w:autoSpaceDE/>
        <w:autoSpaceDN/>
        <w:adjustRightInd/>
        <w:spacing w:after="0"/>
        <w:ind w:left="1215" w:hanging="363"/>
        <w:textAlignment w:val="auto"/>
        <w:rPr>
          <w:rFonts w:eastAsia="MS Mincho"/>
          <w:b/>
          <w:bCs/>
          <w:szCs w:val="24"/>
          <w:lang w:val="en-US" w:eastAsia="en-GB"/>
        </w:rPr>
      </w:pPr>
      <w:r w:rsidRPr="00287F40">
        <w:rPr>
          <w:rFonts w:eastAsia="MS Mincho"/>
          <w:b/>
          <w:bCs/>
          <w:szCs w:val="24"/>
          <w:lang w:val="en-US" w:eastAsia="en-GB"/>
        </w:rPr>
        <w:t>Agreements on inter-CU LTM</w:t>
      </w:r>
    </w:p>
    <w:p w14:paraId="702B215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Early DL sync:</w:t>
      </w:r>
    </w:p>
    <w:p w14:paraId="41AA45F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the R18 candidate TCI State activation/deactivation design (including MAC CE and related UE handling) is reused.</w:t>
      </w:r>
    </w:p>
    <w:p w14:paraId="3C4A11D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AD6D740" w14:textId="1F6E2BA1"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w:t>
      </w:r>
      <w:r w:rsidR="00B05827" w:rsidRPr="00EE6143">
        <w:rPr>
          <w:rFonts w:ascii="Times New Roman" w:hAnsi="Times New Roman"/>
          <w:b w:val="0"/>
          <w:sz w:val="22"/>
          <w:szCs w:val="22"/>
          <w:lang w:eastAsia="en-US"/>
        </w:rPr>
        <w:t xml:space="preserve">how to reduce the resource consumption </w:t>
      </w:r>
      <w:r w:rsidR="00B05827" w:rsidRPr="00706D6D">
        <w:rPr>
          <w:rFonts w:ascii="Times New Roman" w:hAnsi="Times New Roman"/>
          <w:b w:val="0"/>
          <w:sz w:val="22"/>
          <w:szCs w:val="22"/>
          <w:lang w:eastAsia="en-US"/>
        </w:rPr>
        <w:t xml:space="preserve">(e.g., configured grant) 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7450D998" w14:textId="3CD33081"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 xml:space="preserve">2.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08C841F"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configured grant) for the target cell</w:t>
      </w:r>
      <w:r w:rsidR="00876689">
        <w:rPr>
          <w:rFonts w:ascii="Times New Roman" w:hAnsi="Times New Roman"/>
          <w:b w:val="0"/>
          <w:sz w:val="22"/>
          <w:szCs w:val="22"/>
        </w:rPr>
        <w:t>s</w:t>
      </w:r>
      <w:r w:rsidRPr="00136319">
        <w:rPr>
          <w:rFonts w:ascii="Times New Roman" w:hAnsi="Times New Roman"/>
          <w:b w:val="0"/>
          <w:sz w:val="22"/>
          <w:szCs w:val="22"/>
        </w:rPr>
        <w:t xml:space="preserve">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08BE607D" w14:textId="3C4A32CE"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lastRenderedPageBreak/>
        <w:t xml:space="preserve">In the current LTM procedure, the resources (e.g.,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w:t>
      </w:r>
      <w:proofErr w:type="gramStart"/>
      <w:r w:rsidRPr="00136319">
        <w:rPr>
          <w:rFonts w:ascii="Times New Roman" w:hAnsi="Times New Roman"/>
          <w:b w:val="0"/>
          <w:bCs/>
          <w:sz w:val="22"/>
          <w:szCs w:val="22"/>
        </w:rPr>
        <w:t xml:space="preserve">in order </w:t>
      </w:r>
      <w:r w:rsidR="002A63BE">
        <w:rPr>
          <w:rFonts w:ascii="Times New Roman" w:hAnsi="Times New Roman"/>
          <w:b w:val="0"/>
          <w:bCs/>
          <w:sz w:val="22"/>
          <w:szCs w:val="22"/>
        </w:rPr>
        <w:t>for</w:t>
      </w:r>
      <w:proofErr w:type="gramEnd"/>
      <w:r w:rsidR="002A63BE">
        <w:rPr>
          <w:rFonts w:ascii="Times New Roman" w:hAnsi="Times New Roman"/>
          <w:b w:val="0"/>
          <w:bCs/>
          <w:sz w:val="22"/>
          <w:szCs w:val="22"/>
        </w:rPr>
        <w:t xml:space="preserve"> </w:t>
      </w:r>
      <w:r w:rsidRPr="00136319">
        <w:rPr>
          <w:rFonts w:ascii="Times New Roman" w:hAnsi="Times New Roman"/>
          <w:b w:val="0"/>
          <w:bCs/>
          <w:sz w:val="22"/>
          <w:szCs w:val="22"/>
        </w:rPr>
        <w:t>a UE to switch to the target cell,</w:t>
      </w:r>
      <w:r w:rsidR="00AA6BFA">
        <w:rPr>
          <w:rFonts w:ascii="Times New Roman" w:hAnsi="Times New Roman"/>
          <w:b w:val="0"/>
          <w:bCs/>
          <w:sz w:val="22"/>
          <w:szCs w:val="22"/>
        </w:rPr>
        <w:t xml:space="preserve"> </w:t>
      </w:r>
      <w:r w:rsidRPr="00136319">
        <w:rPr>
          <w:rFonts w:ascii="Times New Roman" w:hAnsi="Times New Roman"/>
          <w:b w:val="0"/>
          <w:bCs/>
          <w:sz w:val="22"/>
          <w:szCs w:val="22"/>
        </w:rPr>
        <w:t>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72E4BB30">
            <wp:extent cx="4106872" cy="3530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0988" cy="3542735"/>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1104AC3B" w:rsidR="00136319" w:rsidRPr="00623C99" w:rsidRDefault="009237EB" w:rsidP="00BB1B5D">
      <w:pPr>
        <w:pStyle w:val="TF"/>
        <w:spacing w:line="360" w:lineRule="auto"/>
        <w:jc w:val="both"/>
        <w:rPr>
          <w:rFonts w:asciiTheme="minorHAnsi" w:hAnsiTheme="minorHAnsi" w:cstheme="minorHAnsi"/>
          <w:b w:val="0"/>
          <w:sz w:val="22"/>
          <w:szCs w:val="22"/>
        </w:rPr>
      </w:pPr>
      <w:r w:rsidRPr="00623C99">
        <w:rPr>
          <w:rFonts w:ascii="Times New Roman" w:hAnsi="Times New Roman"/>
          <w:b w:val="0"/>
          <w:sz w:val="22"/>
          <w:szCs w:val="22"/>
          <w:lang w:eastAsia="en-US"/>
        </w:rPr>
        <w:t xml:space="preserve">In order </w:t>
      </w:r>
      <w:r w:rsidR="00136319" w:rsidRPr="00623C99">
        <w:rPr>
          <w:rFonts w:ascii="Times New Roman" w:hAnsi="Times New Roman"/>
          <w:b w:val="0"/>
          <w:bCs/>
          <w:sz w:val="22"/>
          <w:szCs w:val="22"/>
        </w:rPr>
        <w:t xml:space="preserve">to minimize the resource consumption, the resources </w:t>
      </w:r>
      <w:r w:rsidR="00171A72" w:rsidRPr="00623C99">
        <w:rPr>
          <w:rFonts w:ascii="Times New Roman" w:hAnsi="Times New Roman"/>
          <w:b w:val="0"/>
          <w:bCs/>
          <w:sz w:val="22"/>
          <w:szCs w:val="22"/>
        </w:rPr>
        <w:t xml:space="preserve">that </w:t>
      </w:r>
      <w:r w:rsidR="00136319" w:rsidRPr="00623C99">
        <w:rPr>
          <w:rFonts w:ascii="Times New Roman" w:hAnsi="Times New Roman"/>
          <w:b w:val="0"/>
          <w:bCs/>
          <w:sz w:val="22"/>
          <w:szCs w:val="22"/>
        </w:rPr>
        <w:t xml:space="preserve">are allocated </w:t>
      </w:r>
      <w:r w:rsidR="001D235A" w:rsidRPr="00623C99">
        <w:rPr>
          <w:rFonts w:ascii="Times New Roman" w:hAnsi="Times New Roman"/>
          <w:b w:val="0"/>
          <w:bCs/>
          <w:sz w:val="22"/>
          <w:szCs w:val="22"/>
        </w:rPr>
        <w:t>in step</w:t>
      </w:r>
      <w:r w:rsidR="00BB321A" w:rsidRPr="00623C99">
        <w:rPr>
          <w:rFonts w:ascii="Times New Roman" w:hAnsi="Times New Roman"/>
          <w:b w:val="0"/>
          <w:bCs/>
          <w:sz w:val="22"/>
          <w:szCs w:val="22"/>
        </w:rPr>
        <w:t xml:space="preserve"> 2 can be deac</w:t>
      </w:r>
      <w:r w:rsidR="006C2DF5" w:rsidRPr="00623C99">
        <w:rPr>
          <w:rFonts w:ascii="Times New Roman" w:hAnsi="Times New Roman"/>
          <w:b w:val="0"/>
          <w:bCs/>
          <w:sz w:val="22"/>
          <w:szCs w:val="22"/>
        </w:rPr>
        <w:t xml:space="preserve">tivated by default, and then when the serving cell </w:t>
      </w:r>
      <w:r w:rsidR="00F04412" w:rsidRPr="00623C99">
        <w:rPr>
          <w:rFonts w:ascii="Times New Roman" w:hAnsi="Times New Roman"/>
          <w:b w:val="0"/>
          <w:bCs/>
          <w:sz w:val="22"/>
          <w:szCs w:val="22"/>
        </w:rPr>
        <w:t xml:space="preserve">receives L1 measurement report </w:t>
      </w:r>
      <w:r w:rsidR="008304DE" w:rsidRPr="00623C99">
        <w:rPr>
          <w:rFonts w:ascii="Times New Roman" w:hAnsi="Times New Roman"/>
          <w:b w:val="0"/>
          <w:bCs/>
          <w:sz w:val="22"/>
          <w:szCs w:val="22"/>
        </w:rPr>
        <w:t xml:space="preserve">from the UE </w:t>
      </w:r>
      <w:r w:rsidR="00F04412" w:rsidRPr="00623C99">
        <w:rPr>
          <w:rFonts w:ascii="Times New Roman" w:hAnsi="Times New Roman"/>
          <w:b w:val="0"/>
          <w:bCs/>
          <w:sz w:val="22"/>
          <w:szCs w:val="22"/>
        </w:rPr>
        <w:t xml:space="preserve">and </w:t>
      </w:r>
      <w:r w:rsidR="00334126" w:rsidRPr="00623C99">
        <w:rPr>
          <w:rFonts w:ascii="Times New Roman" w:hAnsi="Times New Roman"/>
          <w:b w:val="0"/>
          <w:bCs/>
          <w:sz w:val="22"/>
          <w:szCs w:val="22"/>
        </w:rPr>
        <w:t xml:space="preserve">the serving cell </w:t>
      </w:r>
      <w:r w:rsidR="000E0660" w:rsidRPr="00623C99">
        <w:rPr>
          <w:rFonts w:ascii="Times New Roman" w:hAnsi="Times New Roman"/>
          <w:b w:val="0"/>
          <w:bCs/>
          <w:sz w:val="22"/>
          <w:szCs w:val="22"/>
        </w:rPr>
        <w:t xml:space="preserve">makes </w:t>
      </w:r>
      <w:r w:rsidR="00E30DC1" w:rsidRPr="00623C99">
        <w:rPr>
          <w:rFonts w:ascii="Times New Roman" w:hAnsi="Times New Roman"/>
          <w:b w:val="0"/>
          <w:bCs/>
          <w:sz w:val="22"/>
          <w:szCs w:val="22"/>
        </w:rPr>
        <w:t>the</w:t>
      </w:r>
      <w:r w:rsidR="000E0660" w:rsidRPr="00623C99">
        <w:rPr>
          <w:rFonts w:ascii="Times New Roman" w:hAnsi="Times New Roman"/>
          <w:b w:val="0"/>
          <w:bCs/>
          <w:sz w:val="22"/>
          <w:szCs w:val="22"/>
        </w:rPr>
        <w:t xml:space="preserve"> decision </w:t>
      </w:r>
      <w:r w:rsidR="00F04412" w:rsidRPr="00623C99">
        <w:rPr>
          <w:rFonts w:ascii="Times New Roman" w:hAnsi="Times New Roman"/>
          <w:b w:val="0"/>
          <w:bCs/>
          <w:sz w:val="22"/>
          <w:szCs w:val="22"/>
        </w:rPr>
        <w:t xml:space="preserve">to </w:t>
      </w:r>
      <w:r w:rsidR="00AB4D69" w:rsidRPr="00623C99">
        <w:rPr>
          <w:rFonts w:ascii="Times New Roman" w:hAnsi="Times New Roman"/>
          <w:b w:val="0"/>
          <w:bCs/>
          <w:sz w:val="22"/>
          <w:szCs w:val="22"/>
        </w:rPr>
        <w:t>issue the LTM command</w:t>
      </w:r>
      <w:r w:rsidR="004A6E58" w:rsidRPr="00623C99">
        <w:rPr>
          <w:rFonts w:ascii="Times New Roman" w:hAnsi="Times New Roman"/>
          <w:b w:val="0"/>
          <w:bCs/>
          <w:sz w:val="22"/>
          <w:szCs w:val="22"/>
        </w:rPr>
        <w:t xml:space="preserve"> </w:t>
      </w:r>
      <w:r w:rsidR="00334126" w:rsidRPr="00623C99">
        <w:rPr>
          <w:rFonts w:ascii="Times New Roman" w:hAnsi="Times New Roman"/>
          <w:b w:val="0"/>
          <w:bCs/>
          <w:sz w:val="22"/>
          <w:szCs w:val="22"/>
        </w:rPr>
        <w:t xml:space="preserve">to the UE </w:t>
      </w:r>
      <w:r w:rsidR="004A6E58" w:rsidRPr="00623C99">
        <w:rPr>
          <w:rFonts w:ascii="Times New Roman" w:hAnsi="Times New Roman"/>
          <w:b w:val="0"/>
          <w:bCs/>
          <w:sz w:val="22"/>
          <w:szCs w:val="22"/>
        </w:rPr>
        <w:t>for a target cell</w:t>
      </w:r>
      <w:r w:rsidR="00D34DDF" w:rsidRPr="00623C99">
        <w:rPr>
          <w:rFonts w:ascii="Times New Roman" w:hAnsi="Times New Roman"/>
          <w:b w:val="0"/>
          <w:bCs/>
          <w:sz w:val="22"/>
          <w:szCs w:val="22"/>
        </w:rPr>
        <w:t xml:space="preserve"> (for example </w:t>
      </w:r>
      <w:r w:rsidR="00D34DDF" w:rsidRPr="00623C99">
        <w:rPr>
          <w:rFonts w:ascii="Times New Roman" w:hAnsi="Times New Roman"/>
          <w:b w:val="0"/>
          <w:bCs/>
          <w:i/>
          <w:iCs/>
          <w:sz w:val="22"/>
          <w:szCs w:val="22"/>
        </w:rPr>
        <w:t>index 1</w:t>
      </w:r>
      <w:r w:rsidR="00D34DDF" w:rsidRPr="00623C99">
        <w:rPr>
          <w:rFonts w:ascii="Times New Roman" w:hAnsi="Times New Roman"/>
          <w:b w:val="0"/>
          <w:bCs/>
          <w:sz w:val="22"/>
          <w:szCs w:val="22"/>
        </w:rPr>
        <w:t>)</w:t>
      </w:r>
      <w:r w:rsidR="006F1779" w:rsidRPr="00623C99">
        <w:rPr>
          <w:rFonts w:ascii="Times New Roman" w:hAnsi="Times New Roman"/>
          <w:b w:val="0"/>
          <w:bCs/>
          <w:sz w:val="22"/>
          <w:szCs w:val="22"/>
        </w:rPr>
        <w:t xml:space="preserve">, </w:t>
      </w:r>
      <w:r w:rsidR="00491D7A" w:rsidRPr="00623C99">
        <w:rPr>
          <w:rFonts w:ascii="Times New Roman" w:hAnsi="Times New Roman"/>
          <w:b w:val="0"/>
          <w:bCs/>
          <w:sz w:val="22"/>
          <w:szCs w:val="22"/>
        </w:rPr>
        <w:t xml:space="preserve">i.e., </w:t>
      </w:r>
      <w:r w:rsidR="006F1779" w:rsidRPr="00623C99">
        <w:rPr>
          <w:rFonts w:ascii="Times New Roman" w:hAnsi="Times New Roman"/>
          <w:b w:val="0"/>
          <w:bCs/>
          <w:sz w:val="22"/>
          <w:szCs w:val="22"/>
        </w:rPr>
        <w:t>the resources</w:t>
      </w:r>
      <w:r w:rsidR="007D3113" w:rsidRPr="00623C99">
        <w:rPr>
          <w:rFonts w:ascii="Times New Roman" w:hAnsi="Times New Roman"/>
          <w:b w:val="0"/>
          <w:bCs/>
          <w:sz w:val="22"/>
          <w:szCs w:val="22"/>
        </w:rPr>
        <w:t xml:space="preserve"> a</w:t>
      </w:r>
      <w:r w:rsidR="006F1779" w:rsidRPr="00623C99">
        <w:rPr>
          <w:rFonts w:ascii="Times New Roman" w:hAnsi="Times New Roman"/>
          <w:b w:val="0"/>
          <w:bCs/>
          <w:sz w:val="22"/>
          <w:szCs w:val="22"/>
        </w:rPr>
        <w:t xml:space="preserve">re activated </w:t>
      </w:r>
      <w:r w:rsidR="000446D9" w:rsidRPr="00623C99">
        <w:rPr>
          <w:rFonts w:ascii="Times New Roman" w:hAnsi="Times New Roman"/>
          <w:b w:val="0"/>
          <w:bCs/>
          <w:sz w:val="22"/>
          <w:szCs w:val="22"/>
        </w:rPr>
        <w:t xml:space="preserve">only </w:t>
      </w:r>
      <w:r w:rsidR="006F1779" w:rsidRPr="00623C99">
        <w:rPr>
          <w:rFonts w:ascii="Times New Roman" w:hAnsi="Times New Roman"/>
          <w:b w:val="0"/>
          <w:bCs/>
          <w:sz w:val="22"/>
          <w:szCs w:val="22"/>
        </w:rPr>
        <w:t>for th</w:t>
      </w:r>
      <w:r w:rsidR="00D34DDF" w:rsidRPr="00623C99">
        <w:rPr>
          <w:rFonts w:ascii="Times New Roman" w:hAnsi="Times New Roman"/>
          <w:b w:val="0"/>
          <w:bCs/>
          <w:sz w:val="22"/>
          <w:szCs w:val="22"/>
        </w:rPr>
        <w:t>at target cell (</w:t>
      </w:r>
      <w:r w:rsidR="00D34DDF" w:rsidRPr="00623C99">
        <w:rPr>
          <w:rFonts w:ascii="Times New Roman" w:hAnsi="Times New Roman"/>
          <w:b w:val="0"/>
          <w:bCs/>
          <w:i/>
          <w:iCs/>
          <w:sz w:val="22"/>
          <w:szCs w:val="22"/>
        </w:rPr>
        <w:t>index 1</w:t>
      </w:r>
      <w:r w:rsidR="00D34DDF" w:rsidRPr="00623C99">
        <w:rPr>
          <w:rFonts w:ascii="Times New Roman" w:hAnsi="Times New Roman"/>
          <w:b w:val="0"/>
          <w:bCs/>
          <w:sz w:val="22"/>
          <w:szCs w:val="22"/>
        </w:rPr>
        <w:t>)</w:t>
      </w:r>
      <w:r w:rsidR="00A74B16" w:rsidRPr="00623C99">
        <w:rPr>
          <w:rFonts w:ascii="Times New Roman" w:hAnsi="Times New Roman"/>
          <w:b w:val="0"/>
          <w:bCs/>
          <w:sz w:val="22"/>
          <w:szCs w:val="22"/>
        </w:rPr>
        <w:t xml:space="preserve">. This means that activation message should be sent </w:t>
      </w:r>
      <w:r w:rsidR="00CD4864" w:rsidRPr="00623C99">
        <w:rPr>
          <w:rFonts w:ascii="Times New Roman" w:hAnsi="Times New Roman"/>
          <w:b w:val="0"/>
          <w:bCs/>
          <w:sz w:val="22"/>
          <w:szCs w:val="22"/>
        </w:rPr>
        <w:t xml:space="preserve">from the serving cell </w:t>
      </w:r>
      <w:r w:rsidR="00A74B16" w:rsidRPr="00623C99">
        <w:rPr>
          <w:rFonts w:ascii="Times New Roman" w:hAnsi="Times New Roman"/>
          <w:b w:val="0"/>
          <w:bCs/>
          <w:sz w:val="22"/>
          <w:szCs w:val="22"/>
        </w:rPr>
        <w:t>to the target cell</w:t>
      </w:r>
      <w:r w:rsidR="00D36BDA" w:rsidRPr="00623C99">
        <w:rPr>
          <w:rFonts w:ascii="Times New Roman" w:hAnsi="Times New Roman"/>
          <w:b w:val="0"/>
          <w:bCs/>
          <w:sz w:val="22"/>
          <w:szCs w:val="22"/>
        </w:rPr>
        <w:t xml:space="preserve"> only</w:t>
      </w:r>
      <w:r w:rsidR="00A74B16" w:rsidRPr="00623C99">
        <w:rPr>
          <w:rFonts w:ascii="Times New Roman" w:hAnsi="Times New Roman"/>
          <w:b w:val="0"/>
          <w:bCs/>
          <w:sz w:val="22"/>
          <w:szCs w:val="22"/>
        </w:rPr>
        <w:t>.</w:t>
      </w:r>
      <w:r w:rsidR="003635F4" w:rsidRPr="00623C99">
        <w:rPr>
          <w:rFonts w:ascii="Times New Roman" w:hAnsi="Times New Roman"/>
          <w:b w:val="0"/>
          <w:bCs/>
          <w:sz w:val="22"/>
          <w:szCs w:val="22"/>
        </w:rPr>
        <w:t xml:space="preserve"> </w:t>
      </w:r>
    </w:p>
    <w:p w14:paraId="76450264" w14:textId="4B19D072" w:rsidR="00156D8F" w:rsidRDefault="00156D8F" w:rsidP="00156D8F">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1E1B234C" w14:textId="7B501D4F" w:rsidR="00A85864" w:rsidRDefault="00A85864" w:rsidP="00A85864">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w:t>
      </w:r>
      <w:r w:rsidR="00CE6195" w:rsidRPr="00B66D87">
        <w:rPr>
          <w:rFonts w:ascii="Times New Roman" w:hAnsi="Times New Roman"/>
          <w:bCs/>
          <w:sz w:val="22"/>
          <w:szCs w:val="22"/>
        </w:rPr>
        <w:t xml:space="preserve"> of the target cell should</w:t>
      </w:r>
      <w:r w:rsidR="00DF4B8B" w:rsidRPr="00B66D87">
        <w:rPr>
          <w:rFonts w:ascii="Times New Roman" w:hAnsi="Times New Roman"/>
          <w:bCs/>
          <w:sz w:val="22"/>
          <w:szCs w:val="22"/>
        </w:rPr>
        <w:t xml:space="preserve"> be activated </w:t>
      </w:r>
      <w:r w:rsidR="00B66D87">
        <w:rPr>
          <w:rFonts w:ascii="Times New Roman" w:hAnsi="Times New Roman"/>
          <w:bCs/>
          <w:sz w:val="22"/>
          <w:szCs w:val="22"/>
        </w:rPr>
        <w:t xml:space="preserve">only </w:t>
      </w:r>
      <w:r w:rsidR="00DF4B8B" w:rsidRPr="00B66D87">
        <w:rPr>
          <w:rFonts w:ascii="Times New Roman" w:hAnsi="Times New Roman"/>
          <w:bCs/>
          <w:sz w:val="22"/>
          <w:szCs w:val="22"/>
        </w:rPr>
        <w:t xml:space="preserve">when </w:t>
      </w:r>
      <w:r w:rsidRPr="00B66D87">
        <w:rPr>
          <w:rFonts w:ascii="Times New Roman" w:hAnsi="Times New Roman"/>
          <w:bCs/>
          <w:sz w:val="22"/>
          <w:szCs w:val="22"/>
        </w:rPr>
        <w:t xml:space="preserve">the serving cell receives L1 measurement report </w:t>
      </w:r>
      <w:r w:rsidR="00DF4B8B" w:rsidRPr="00B66D87">
        <w:rPr>
          <w:rFonts w:ascii="Times New Roman" w:hAnsi="Times New Roman"/>
          <w:bCs/>
          <w:sz w:val="22"/>
          <w:szCs w:val="22"/>
        </w:rPr>
        <w:t>from the UE and</w:t>
      </w:r>
      <w:r w:rsidR="006C2E4E" w:rsidRPr="00B66D87">
        <w:rPr>
          <w:rFonts w:ascii="Times New Roman" w:hAnsi="Times New Roman"/>
          <w:bCs/>
          <w:sz w:val="22"/>
          <w:szCs w:val="22"/>
        </w:rPr>
        <w:t xml:space="preserve"> </w:t>
      </w:r>
      <w:r w:rsidR="00F24864" w:rsidRPr="00B66D87">
        <w:rPr>
          <w:rFonts w:ascii="Times New Roman" w:hAnsi="Times New Roman"/>
          <w:bCs/>
          <w:sz w:val="22"/>
          <w:szCs w:val="22"/>
        </w:rPr>
        <w:t xml:space="preserve">the serving cell </w:t>
      </w:r>
      <w:r w:rsidRPr="00B66D87">
        <w:rPr>
          <w:rFonts w:ascii="Times New Roman" w:hAnsi="Times New Roman"/>
          <w:bCs/>
          <w:sz w:val="22"/>
          <w:szCs w:val="22"/>
        </w:rPr>
        <w:t xml:space="preserve">makes the decision to issue the LTM command </w:t>
      </w:r>
      <w:r w:rsidR="00F24864">
        <w:rPr>
          <w:rFonts w:ascii="Times New Roman" w:hAnsi="Times New Roman"/>
          <w:bCs/>
          <w:sz w:val="22"/>
          <w:szCs w:val="22"/>
        </w:rPr>
        <w:t xml:space="preserve">to the UE </w:t>
      </w:r>
      <w:r w:rsidRPr="00B66D87">
        <w:rPr>
          <w:rFonts w:ascii="Times New Roman" w:hAnsi="Times New Roman"/>
          <w:bCs/>
          <w:sz w:val="22"/>
          <w:szCs w:val="22"/>
        </w:rPr>
        <w:t xml:space="preserve">for </w:t>
      </w:r>
      <w:r w:rsidR="00C06646">
        <w:rPr>
          <w:rFonts w:ascii="Times New Roman" w:hAnsi="Times New Roman"/>
          <w:bCs/>
          <w:sz w:val="22"/>
          <w:szCs w:val="22"/>
        </w:rPr>
        <w:t>the</w:t>
      </w:r>
      <w:r w:rsidRPr="00B66D87">
        <w:rPr>
          <w:rFonts w:ascii="Times New Roman" w:hAnsi="Times New Roman"/>
          <w:bCs/>
          <w:sz w:val="22"/>
          <w:szCs w:val="22"/>
        </w:rPr>
        <w:t xml:space="preserve"> target cell</w:t>
      </w:r>
      <w:r w:rsidR="006C2E4E" w:rsidRPr="00B66D87">
        <w:rPr>
          <w:rFonts w:ascii="Times New Roman" w:hAnsi="Times New Roman"/>
          <w:bCs/>
          <w:sz w:val="22"/>
          <w:szCs w:val="22"/>
        </w:rPr>
        <w:t>. The</w:t>
      </w:r>
      <w:r w:rsidRPr="00B66D87">
        <w:rPr>
          <w:rFonts w:ascii="Times New Roman" w:hAnsi="Times New Roman"/>
          <w:bCs/>
          <w:sz w:val="22"/>
          <w:szCs w:val="22"/>
        </w:rPr>
        <w:t xml:space="preserve"> activation message should be sent from the serving cell to the target cell only. </w:t>
      </w:r>
    </w:p>
    <w:p w14:paraId="02651E80" w14:textId="77777777" w:rsidR="00100430" w:rsidRPr="00B66D87" w:rsidRDefault="00100430" w:rsidP="00A85864">
      <w:pPr>
        <w:pStyle w:val="TF"/>
        <w:spacing w:line="360" w:lineRule="auto"/>
        <w:jc w:val="both"/>
        <w:rPr>
          <w:rFonts w:ascii="Times New Roman" w:hAnsi="Times New Roman"/>
          <w:bCs/>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lastRenderedPageBreak/>
        <w:t>Conclusions</w:t>
      </w:r>
    </w:p>
    <w:p w14:paraId="1A96B048" w14:textId="699BDE74" w:rsidR="003B7B4A" w:rsidRDefault="007C5F58" w:rsidP="00B05827">
      <w:pPr>
        <w:pStyle w:val="Comments"/>
        <w:jc w:val="both"/>
        <w:rPr>
          <w:rFonts w:ascii="Times New Roman" w:hAnsi="Times New Roman"/>
          <w:bCs/>
          <w:i w:val="0"/>
          <w:iCs/>
          <w:sz w:val="22"/>
          <w:szCs w:val="22"/>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C2DE7" w:rsidRPr="00B05827">
        <w:rPr>
          <w:rFonts w:ascii="Times New Roman" w:eastAsia="Times New Roman" w:hAnsi="Times New Roman"/>
          <w:i w:val="0"/>
          <w:iCs/>
          <w:noProof w:val="0"/>
          <w:sz w:val="22"/>
          <w:szCs w:val="22"/>
          <w:lang w:eastAsia="ja-JP"/>
        </w:rPr>
        <w:t xml:space="preserve">how to reduce the resource consumption </w:t>
      </w:r>
      <w:r w:rsidR="003C2DE7" w:rsidRPr="00B05827">
        <w:rPr>
          <w:rFonts w:ascii="Times New Roman" w:hAnsi="Times New Roman"/>
          <w:bCs/>
          <w:i w:val="0"/>
          <w:iCs/>
          <w:sz w:val="22"/>
          <w:szCs w:val="22"/>
        </w:rPr>
        <w:t xml:space="preserve">(e.g.,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p>
    <w:p w14:paraId="191C7935" w14:textId="77777777" w:rsidR="007B7440" w:rsidRDefault="007B7440" w:rsidP="00B05827">
      <w:pPr>
        <w:pStyle w:val="Comments"/>
        <w:jc w:val="both"/>
        <w:rPr>
          <w:rFonts w:ascii="Times New Roman" w:hAnsi="Times New Roman"/>
          <w:bCs/>
          <w:i w:val="0"/>
          <w:iCs/>
          <w:sz w:val="22"/>
          <w:szCs w:val="22"/>
        </w:rPr>
      </w:pPr>
    </w:p>
    <w:p w14:paraId="26EA5E59" w14:textId="2D6AA02F" w:rsidR="00EF139C" w:rsidRDefault="00EF139C" w:rsidP="00EF139C">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minimize the resource consumption </w:t>
      </w:r>
      <w:r w:rsidRPr="008C6AAB">
        <w:rPr>
          <w:rFonts w:ascii="Times New Roman" w:hAnsi="Times New Roman"/>
          <w:bCs/>
          <w:sz w:val="22"/>
          <w:szCs w:val="22"/>
        </w:rPr>
        <w:t xml:space="preserve">(e.g., configured grant) </w:t>
      </w:r>
      <w:r w:rsidRPr="008C6AAB">
        <w:rPr>
          <w:rFonts w:ascii="Times New Roman" w:eastAsia="MS Mincho" w:hAnsi="Times New Roman"/>
          <w:bCs/>
          <w:sz w:val="22"/>
          <w:szCs w:val="22"/>
          <w:lang w:val="en-US"/>
        </w:rPr>
        <w:t xml:space="preserve">for the </w:t>
      </w:r>
      <w:r>
        <w:rPr>
          <w:rFonts w:ascii="Times New Roman" w:eastAsia="MS Mincho" w:hAnsi="Times New Roman"/>
          <w:bCs/>
          <w:sz w:val="22"/>
          <w:szCs w:val="22"/>
          <w:lang w:val="en-US"/>
        </w:rPr>
        <w:t>candidate</w:t>
      </w:r>
      <w:r w:rsidRPr="008C6AAB">
        <w:rPr>
          <w:rFonts w:ascii="Times New Roman" w:hAnsi="Times New Roman"/>
          <w:bCs/>
          <w:sz w:val="22"/>
          <w:szCs w:val="22"/>
          <w:lang w:eastAsia="en-US"/>
        </w:rPr>
        <w:t xml:space="preserve"> target cells</w:t>
      </w:r>
      <w:r w:rsidRPr="008C6AAB">
        <w:rPr>
          <w:rFonts w:ascii="Times New Roman" w:hAnsi="Times New Roman"/>
          <w:bCs/>
          <w:sz w:val="22"/>
          <w:szCs w:val="22"/>
        </w:rPr>
        <w:t>.</w:t>
      </w:r>
    </w:p>
    <w:p w14:paraId="7D612BE0" w14:textId="4B8163A6" w:rsidR="00A06CF2" w:rsidRDefault="00100430" w:rsidP="00100430">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 of the target cell should be activated </w:t>
      </w:r>
      <w:r>
        <w:rPr>
          <w:rFonts w:ascii="Times New Roman" w:hAnsi="Times New Roman"/>
          <w:bCs/>
          <w:sz w:val="22"/>
          <w:szCs w:val="22"/>
        </w:rPr>
        <w:t xml:space="preserve">only </w:t>
      </w:r>
      <w:r w:rsidRPr="00B66D87">
        <w:rPr>
          <w:rFonts w:ascii="Times New Roman" w:hAnsi="Times New Roman"/>
          <w:bCs/>
          <w:sz w:val="22"/>
          <w:szCs w:val="22"/>
        </w:rPr>
        <w:t xml:space="preserve">when the serving cell receives L1 measurement report from the UE and the serving cell makes the decision to issue the LTM command </w:t>
      </w:r>
      <w:r>
        <w:rPr>
          <w:rFonts w:ascii="Times New Roman" w:hAnsi="Times New Roman"/>
          <w:bCs/>
          <w:sz w:val="22"/>
          <w:szCs w:val="22"/>
        </w:rPr>
        <w:t xml:space="preserve">to the UE </w:t>
      </w:r>
      <w:r w:rsidRPr="00B66D87">
        <w:rPr>
          <w:rFonts w:ascii="Times New Roman" w:hAnsi="Times New Roman"/>
          <w:bCs/>
          <w:sz w:val="22"/>
          <w:szCs w:val="22"/>
        </w:rPr>
        <w:t xml:space="preserve">for </w:t>
      </w:r>
      <w:r>
        <w:rPr>
          <w:rFonts w:ascii="Times New Roman" w:hAnsi="Times New Roman"/>
          <w:bCs/>
          <w:sz w:val="22"/>
          <w:szCs w:val="22"/>
        </w:rPr>
        <w:t>the</w:t>
      </w:r>
      <w:r w:rsidRPr="00B66D87">
        <w:rPr>
          <w:rFonts w:ascii="Times New Roman" w:hAnsi="Times New Roman"/>
          <w:bCs/>
          <w:sz w:val="22"/>
          <w:szCs w:val="22"/>
        </w:rPr>
        <w:t xml:space="preserve"> target cell. The activation message should be sent from the serving cell to the target cell only.</w:t>
      </w:r>
    </w:p>
    <w:p w14:paraId="454F1B36" w14:textId="77777777" w:rsidR="00B00F8A" w:rsidRDefault="00B00F8A" w:rsidP="00100430">
      <w:pPr>
        <w:pStyle w:val="TF"/>
        <w:spacing w:line="360" w:lineRule="auto"/>
        <w:jc w:val="both"/>
        <w:rPr>
          <w:rFonts w:ascii="Times New Roman" w:hAnsi="Times New Roman"/>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106B8" w:rsidRDefault="002D400C"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[1] </w:t>
      </w:r>
      <w:r w:rsidR="00350B7C" w:rsidRPr="008106B8">
        <w:rPr>
          <w:rFonts w:ascii="Times New Roman" w:hAnsi="Times New Roman"/>
          <w:noProof/>
        </w:rPr>
        <w:t>RP-234036</w:t>
      </w:r>
      <w:r w:rsidRPr="008106B8">
        <w:rPr>
          <w:rFonts w:ascii="Times New Roman" w:hAnsi="Times New Roman"/>
          <w:noProof/>
        </w:rPr>
        <w:t xml:space="preserve">, </w:t>
      </w:r>
      <w:r w:rsidR="00613108" w:rsidRPr="008106B8">
        <w:rPr>
          <w:rFonts w:ascii="Times New Roman" w:hAnsi="Times New Roman"/>
          <w:noProof/>
        </w:rPr>
        <w:t>“</w:t>
      </w:r>
      <w:r w:rsidR="00087E40" w:rsidRPr="008106B8">
        <w:rPr>
          <w:rFonts w:ascii="Times New Roman" w:eastAsia="Batang" w:hAnsi="Times New Roman"/>
          <w:lang w:eastAsia="zh-CN"/>
        </w:rPr>
        <w:t>New WID: NR mobility enhancements Phase 4</w:t>
      </w:r>
      <w:r w:rsidR="00ED3DC2" w:rsidRPr="008106B8">
        <w:rPr>
          <w:rFonts w:ascii="Times New Roman" w:eastAsia="Batang" w:hAnsi="Times New Roman"/>
          <w:lang w:eastAsia="zh-CN"/>
        </w:rPr>
        <w:t>,</w:t>
      </w:r>
      <w:r w:rsidR="00613108" w:rsidRPr="008106B8">
        <w:rPr>
          <w:rFonts w:ascii="Times New Roman" w:eastAsia="Batang" w:hAnsi="Times New Roman"/>
          <w:lang w:eastAsia="zh-CN"/>
        </w:rPr>
        <w:t>”</w:t>
      </w:r>
      <w:r w:rsidRPr="008106B8">
        <w:rPr>
          <w:rFonts w:ascii="Times New Roman" w:eastAsia="Batang" w:hAnsi="Times New Roman"/>
          <w:lang w:eastAsia="zh-CN"/>
        </w:rPr>
        <w:t xml:space="preserve"> RAN</w:t>
      </w:r>
      <w:r w:rsidR="00921527" w:rsidRPr="008106B8">
        <w:rPr>
          <w:rFonts w:ascii="Times New Roman" w:hAnsi="Times New Roman"/>
          <w:noProof/>
        </w:rPr>
        <w:t>#102</w:t>
      </w:r>
      <w:r w:rsidR="007061E9" w:rsidRPr="008106B8">
        <w:rPr>
          <w:rFonts w:ascii="Times New Roman" w:eastAsia="Batang" w:hAnsi="Times New Roman"/>
          <w:lang w:eastAsia="zh-CN"/>
        </w:rPr>
        <w:t>.</w:t>
      </w:r>
    </w:p>
    <w:p w14:paraId="6DB92059" w14:textId="36631D1B" w:rsidR="007C234A" w:rsidRPr="002D3B7C" w:rsidRDefault="00A07D9D" w:rsidP="001918F2">
      <w:pPr>
        <w:pStyle w:val="CRCoverPage"/>
        <w:tabs>
          <w:tab w:val="right" w:pos="9639"/>
        </w:tabs>
        <w:spacing w:after="0"/>
        <w:rPr>
          <w:rFonts w:eastAsia="DengXian"/>
          <w:sz w:val="22"/>
          <w:szCs w:val="22"/>
          <w:lang w:eastAsia="zh-CN"/>
        </w:rPr>
      </w:pPr>
      <w:r w:rsidRPr="008106B8">
        <w:rPr>
          <w:rFonts w:ascii="Times New Roman" w:hAnsi="Times New Roman"/>
        </w:rPr>
        <w:t xml:space="preserve">[2] TS 38.300 V18.0.0, Section </w:t>
      </w:r>
      <w:bookmarkStart w:id="13" w:name="_Toc155991480"/>
      <w:r w:rsidRPr="008106B8">
        <w:rPr>
          <w:rFonts w:ascii="Times New Roman" w:hAnsi="Times New Roman"/>
        </w:rPr>
        <w:t>9.2.3.5</w:t>
      </w:r>
      <w:bookmarkEnd w:id="13"/>
      <w:r w:rsidRPr="008106B8">
        <w:rPr>
          <w:rFonts w:ascii="Times New Roman" w:hAnsi="Times New Roman"/>
        </w:rPr>
        <w:t xml:space="preserve"> (Figure 9.2.3.5.2-1. Signalling procedure for LTM).</w:t>
      </w: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26C1" w14:textId="77777777" w:rsidR="008D0720" w:rsidRDefault="008D0720">
      <w:r>
        <w:separator/>
      </w:r>
    </w:p>
  </w:endnote>
  <w:endnote w:type="continuationSeparator" w:id="0">
    <w:p w14:paraId="299026DC" w14:textId="77777777" w:rsidR="008D0720" w:rsidRDefault="008D0720">
      <w:r>
        <w:continuationSeparator/>
      </w:r>
    </w:p>
  </w:endnote>
  <w:endnote w:type="continuationNotice" w:id="1">
    <w:p w14:paraId="303BEB93" w14:textId="77777777" w:rsidR="008D0720" w:rsidRDefault="008D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4991" w14:textId="77777777" w:rsidR="008D0720" w:rsidRDefault="008D0720">
      <w:r>
        <w:separator/>
      </w:r>
    </w:p>
  </w:footnote>
  <w:footnote w:type="continuationSeparator" w:id="0">
    <w:p w14:paraId="7AA360BF" w14:textId="77777777" w:rsidR="008D0720" w:rsidRDefault="008D0720">
      <w:r>
        <w:continuationSeparator/>
      </w:r>
    </w:p>
  </w:footnote>
  <w:footnote w:type="continuationNotice" w:id="1">
    <w:p w14:paraId="2DDD62CB" w14:textId="77777777" w:rsidR="008D0720" w:rsidRDefault="008D0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5"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9"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4"/>
  </w:num>
  <w:num w:numId="2" w16cid:durableId="1118648377">
    <w:abstractNumId w:val="28"/>
  </w:num>
  <w:num w:numId="3" w16cid:durableId="733433732">
    <w:abstractNumId w:val="16"/>
  </w:num>
  <w:num w:numId="4" w16cid:durableId="99183514">
    <w:abstractNumId w:val="12"/>
  </w:num>
  <w:num w:numId="5" w16cid:durableId="1603878845">
    <w:abstractNumId w:val="3"/>
  </w:num>
  <w:num w:numId="6" w16cid:durableId="1531187702">
    <w:abstractNumId w:val="27"/>
  </w:num>
  <w:num w:numId="7" w16cid:durableId="583950909">
    <w:abstractNumId w:val="29"/>
  </w:num>
  <w:num w:numId="8" w16cid:durableId="1858275045">
    <w:abstractNumId w:val="18"/>
  </w:num>
  <w:num w:numId="9" w16cid:durableId="1541164796">
    <w:abstractNumId w:val="17"/>
  </w:num>
  <w:num w:numId="10" w16cid:durableId="195627461">
    <w:abstractNumId w:val="9"/>
  </w:num>
  <w:num w:numId="11" w16cid:durableId="1150945229">
    <w:abstractNumId w:val="23"/>
  </w:num>
  <w:num w:numId="12" w16cid:durableId="664011702">
    <w:abstractNumId w:val="19"/>
  </w:num>
  <w:num w:numId="13" w16cid:durableId="542786459">
    <w:abstractNumId w:val="0"/>
  </w:num>
  <w:num w:numId="14" w16cid:durableId="1788158413">
    <w:abstractNumId w:val="8"/>
  </w:num>
  <w:num w:numId="15" w16cid:durableId="1060442625">
    <w:abstractNumId w:val="25"/>
  </w:num>
  <w:num w:numId="16" w16cid:durableId="768892580">
    <w:abstractNumId w:val="11"/>
  </w:num>
  <w:num w:numId="17" w16cid:durableId="1737051045">
    <w:abstractNumId w:val="1"/>
  </w:num>
  <w:num w:numId="18" w16cid:durableId="1994676478">
    <w:abstractNumId w:val="15"/>
  </w:num>
  <w:num w:numId="19" w16cid:durableId="1085877028">
    <w:abstractNumId w:val="26"/>
  </w:num>
  <w:num w:numId="20" w16cid:durableId="1279143105">
    <w:abstractNumId w:val="21"/>
  </w:num>
  <w:num w:numId="21" w16cid:durableId="897058260">
    <w:abstractNumId w:val="4"/>
  </w:num>
  <w:num w:numId="22" w16cid:durableId="1228108469">
    <w:abstractNumId w:val="24"/>
  </w:num>
  <w:num w:numId="23" w16cid:durableId="1005397225">
    <w:abstractNumId w:val="13"/>
  </w:num>
  <w:num w:numId="24" w16cid:durableId="1279146569">
    <w:abstractNumId w:val="22"/>
  </w:num>
  <w:num w:numId="25" w16cid:durableId="1088695980">
    <w:abstractNumId w:val="5"/>
  </w:num>
  <w:num w:numId="26" w16cid:durableId="67270714">
    <w:abstractNumId w:val="7"/>
  </w:num>
  <w:num w:numId="27" w16cid:durableId="1171725495">
    <w:abstractNumId w:val="20"/>
  </w:num>
  <w:num w:numId="28" w16cid:durableId="1797480190">
    <w:abstractNumId w:val="2"/>
  </w:num>
  <w:num w:numId="29" w16cid:durableId="1168515551">
    <w:abstractNumId w:val="10"/>
  </w:num>
  <w:num w:numId="30" w16cid:durableId="20650624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4C7"/>
    <w:rsid w:val="001D756D"/>
    <w:rsid w:val="001D7D01"/>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93"/>
    <w:rsid w:val="002247A4"/>
    <w:rsid w:val="002247CC"/>
    <w:rsid w:val="0022481E"/>
    <w:rsid w:val="00224987"/>
    <w:rsid w:val="002249EB"/>
    <w:rsid w:val="00225467"/>
    <w:rsid w:val="0022639D"/>
    <w:rsid w:val="002266C7"/>
    <w:rsid w:val="00226A29"/>
    <w:rsid w:val="00226BCD"/>
    <w:rsid w:val="00226E1D"/>
    <w:rsid w:val="002270B5"/>
    <w:rsid w:val="002275BA"/>
    <w:rsid w:val="00230697"/>
    <w:rsid w:val="00230755"/>
    <w:rsid w:val="00230AC9"/>
    <w:rsid w:val="00230D8C"/>
    <w:rsid w:val="002317F5"/>
    <w:rsid w:val="0023237D"/>
    <w:rsid w:val="00232EF0"/>
    <w:rsid w:val="0023301D"/>
    <w:rsid w:val="00233208"/>
    <w:rsid w:val="002332BD"/>
    <w:rsid w:val="0023355B"/>
    <w:rsid w:val="002336F9"/>
    <w:rsid w:val="00233988"/>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13D"/>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C46"/>
    <w:rsid w:val="00337328"/>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1B3"/>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3AE6"/>
    <w:rsid w:val="00464032"/>
    <w:rsid w:val="004640C7"/>
    <w:rsid w:val="004641E0"/>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262D"/>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A8B"/>
    <w:rsid w:val="005D7CCA"/>
    <w:rsid w:val="005E08EF"/>
    <w:rsid w:val="005E0F7B"/>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CB"/>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3C99"/>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4E5"/>
    <w:rsid w:val="00745C41"/>
    <w:rsid w:val="00745DF7"/>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39B"/>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A44"/>
    <w:rsid w:val="00802AE2"/>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EBF"/>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111"/>
    <w:rsid w:val="009C267E"/>
    <w:rsid w:val="009C377D"/>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5400"/>
    <w:rsid w:val="00AA5401"/>
    <w:rsid w:val="00AA59D9"/>
    <w:rsid w:val="00AA5B61"/>
    <w:rsid w:val="00AA6110"/>
    <w:rsid w:val="00AA625E"/>
    <w:rsid w:val="00AA62AD"/>
    <w:rsid w:val="00AA6B91"/>
    <w:rsid w:val="00AA6BFA"/>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747"/>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C4"/>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64"/>
    <w:rsid w:val="00C04866"/>
    <w:rsid w:val="00C04A63"/>
    <w:rsid w:val="00C04AB2"/>
    <w:rsid w:val="00C05247"/>
    <w:rsid w:val="00C052C6"/>
    <w:rsid w:val="00C05730"/>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83D"/>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B14"/>
    <w:rsid w:val="00C8736B"/>
    <w:rsid w:val="00C8755E"/>
    <w:rsid w:val="00C876B4"/>
    <w:rsid w:val="00C87A51"/>
    <w:rsid w:val="00C87B76"/>
    <w:rsid w:val="00C87CD8"/>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1128"/>
    <w:rsid w:val="00D41327"/>
    <w:rsid w:val="00D41E57"/>
    <w:rsid w:val="00D4263E"/>
    <w:rsid w:val="00D428CD"/>
    <w:rsid w:val="00D42E32"/>
    <w:rsid w:val="00D43759"/>
    <w:rsid w:val="00D43EE1"/>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25A"/>
    <w:rsid w:val="00D577FD"/>
    <w:rsid w:val="00D57A87"/>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03D"/>
    <w:rsid w:val="00D83112"/>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60</TotalTime>
  <Pages>3</Pages>
  <Words>749</Words>
  <Characters>3814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Awad, Yassin</cp:lastModifiedBy>
  <cp:revision>30</cp:revision>
  <cp:lastPrinted>2009-09-28T08:02:00Z</cp:lastPrinted>
  <dcterms:created xsi:type="dcterms:W3CDTF">2025-01-28T09:36:00Z</dcterms:created>
  <dcterms:modified xsi:type="dcterms:W3CDTF">2025-02-06T16:39:00Z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